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D1" w:rsidRDefault="002C59D1" w:rsidP="002C59D1">
      <w:pPr>
        <w:spacing w:after="0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2C59D1">
        <w:rPr>
          <w:rFonts w:ascii="Times New Roman" w:hAnsi="Times New Roman" w:cs="Times New Roman"/>
          <w:b/>
          <w:sz w:val="40"/>
          <w:lang w:val="uk-UA"/>
        </w:rPr>
        <w:t xml:space="preserve">Рішенням виконавчого комітету </w:t>
      </w:r>
    </w:p>
    <w:p w:rsidR="002C59D1" w:rsidRDefault="002C59D1" w:rsidP="002C59D1">
      <w:pPr>
        <w:spacing w:after="0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2C59D1">
        <w:rPr>
          <w:rFonts w:ascii="Times New Roman" w:hAnsi="Times New Roman" w:cs="Times New Roman"/>
          <w:b/>
          <w:sz w:val="40"/>
          <w:lang w:val="uk-UA"/>
        </w:rPr>
        <w:t>Покровської міської ради № 519 від 31.10.2001 року затверджено територію обслуговування КДНЗ № 21:</w:t>
      </w:r>
    </w:p>
    <w:p w:rsidR="002C59D1" w:rsidRPr="002C59D1" w:rsidRDefault="002C59D1" w:rsidP="002C59D1">
      <w:pPr>
        <w:jc w:val="center"/>
        <w:rPr>
          <w:rFonts w:ascii="Times New Roman" w:hAnsi="Times New Roman" w:cs="Times New Roman"/>
          <w:b/>
          <w:sz w:val="40"/>
          <w:lang w:val="uk-UA"/>
        </w:rPr>
      </w:pPr>
    </w:p>
    <w:p w:rsidR="000C527C" w:rsidRPr="002C59D1" w:rsidRDefault="002C59D1">
      <w:pPr>
        <w:rPr>
          <w:rFonts w:ascii="Times New Roman" w:hAnsi="Times New Roman" w:cs="Times New Roman"/>
          <w:sz w:val="40"/>
          <w:lang w:val="uk-UA"/>
        </w:rPr>
      </w:pPr>
      <w:r w:rsidRPr="002C59D1">
        <w:rPr>
          <w:rFonts w:ascii="Times New Roman" w:hAnsi="Times New Roman" w:cs="Times New Roman"/>
          <w:sz w:val="40"/>
          <w:lang w:val="uk-UA"/>
        </w:rPr>
        <w:t xml:space="preserve"> вул. Л.Чайкіної  будинки № 2, 4, 6, 8, 12</w:t>
      </w:r>
    </w:p>
    <w:p w:rsidR="002C59D1" w:rsidRPr="002C59D1" w:rsidRDefault="002C59D1">
      <w:pPr>
        <w:rPr>
          <w:rFonts w:ascii="Times New Roman" w:hAnsi="Times New Roman" w:cs="Times New Roman"/>
          <w:sz w:val="40"/>
          <w:lang w:val="uk-UA"/>
        </w:rPr>
      </w:pPr>
      <w:r w:rsidRPr="002C59D1">
        <w:rPr>
          <w:rFonts w:ascii="Times New Roman" w:hAnsi="Times New Roman" w:cs="Times New Roman"/>
          <w:sz w:val="40"/>
          <w:lang w:val="uk-UA"/>
        </w:rPr>
        <w:t>вул. Соборна будинки № 1 – 15</w:t>
      </w:r>
    </w:p>
    <w:p w:rsidR="002C59D1" w:rsidRPr="002C59D1" w:rsidRDefault="002C59D1">
      <w:pPr>
        <w:rPr>
          <w:rFonts w:ascii="Times New Roman" w:hAnsi="Times New Roman" w:cs="Times New Roman"/>
          <w:sz w:val="40"/>
          <w:lang w:val="uk-UA"/>
        </w:rPr>
      </w:pPr>
      <w:r w:rsidRPr="002C59D1">
        <w:rPr>
          <w:rFonts w:ascii="Times New Roman" w:hAnsi="Times New Roman" w:cs="Times New Roman"/>
          <w:sz w:val="40"/>
          <w:lang w:val="uk-UA"/>
        </w:rPr>
        <w:t>вул. Центральна будинки № 57 – 79</w:t>
      </w:r>
    </w:p>
    <w:p w:rsidR="002C59D1" w:rsidRPr="002C59D1" w:rsidRDefault="002C59D1">
      <w:pPr>
        <w:rPr>
          <w:rFonts w:ascii="Times New Roman" w:hAnsi="Times New Roman" w:cs="Times New Roman"/>
          <w:sz w:val="40"/>
          <w:lang w:val="uk-UA"/>
        </w:rPr>
      </w:pPr>
      <w:r w:rsidRPr="002C59D1">
        <w:rPr>
          <w:rFonts w:ascii="Times New Roman" w:hAnsi="Times New Roman" w:cs="Times New Roman"/>
          <w:sz w:val="40"/>
          <w:lang w:val="uk-UA"/>
        </w:rPr>
        <w:t>вул. Г.Тикви будинки № 12, 14, 16, 18, 20</w:t>
      </w:r>
    </w:p>
    <w:sectPr w:rsidR="002C59D1" w:rsidRPr="002C59D1" w:rsidSect="000C52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C59D1"/>
    <w:rsid w:val="000C527C"/>
    <w:rsid w:val="002C59D1"/>
    <w:rsid w:val="00FB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2017-12-11T08:09:00Z</dcterms:created>
  <dcterms:modified xsi:type="dcterms:W3CDTF">2017-12-11T08:13:00Z</dcterms:modified>
</cp:coreProperties>
</file>